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0B980">
      <w:pPr>
        <w:contextualSpacing/>
        <w:jc w:val="left"/>
        <w:rPr>
          <w:rFonts w:hint="eastAsia" w:ascii="Times New Roman" w:hAnsi="Times New Roman" w:eastAsia="华文中宋" w:cs="Times New Roman"/>
          <w:b/>
          <w:color w:val="auto"/>
          <w:sz w:val="52"/>
          <w:szCs w:val="32"/>
        </w:rPr>
      </w:pPr>
      <w:r>
        <w:rPr>
          <w:rFonts w:hint="eastAsia" w:ascii="Times New Roman" w:hAnsi="Times New Roman" w:eastAsia="华文中宋" w:cs="Times New Roman"/>
          <w:b/>
          <w:color w:val="auto"/>
          <w:sz w:val="52"/>
          <w:szCs w:val="32"/>
          <w:lang w:val="en-US" w:eastAsia="zh-CN"/>
        </w:rPr>
        <w:t>附件2</w:t>
      </w:r>
      <w:r>
        <w:rPr>
          <w:rFonts w:hint="eastAsia" w:ascii="Times New Roman" w:hAnsi="Times New Roman" w:eastAsia="华文中宋" w:cs="Times New Roman"/>
          <w:b/>
          <w:color w:val="auto"/>
          <w:sz w:val="52"/>
          <w:szCs w:val="32"/>
        </w:rPr>
        <w:t>：</w:t>
      </w:r>
    </w:p>
    <w:p w14:paraId="44F3F7BA">
      <w:pPr>
        <w:contextualSpacing/>
        <w:jc w:val="center"/>
        <w:rPr>
          <w:rFonts w:ascii="Times New Roman" w:hAnsi="Times New Roman" w:eastAsia="华文中宋" w:cs="Times New Roman"/>
          <w:b/>
          <w:color w:val="auto"/>
          <w:sz w:val="52"/>
          <w:szCs w:val="32"/>
        </w:rPr>
      </w:pPr>
    </w:p>
    <w:p w14:paraId="7DD4C48B">
      <w:pPr>
        <w:contextualSpacing/>
        <w:jc w:val="center"/>
        <w:rPr>
          <w:rFonts w:ascii="Times New Roman" w:hAnsi="Times New Roman" w:eastAsia="华文中宋" w:cs="Times New Roman"/>
          <w:b/>
          <w:color w:val="auto"/>
          <w:sz w:val="52"/>
          <w:szCs w:val="32"/>
        </w:rPr>
      </w:pPr>
    </w:p>
    <w:p w14:paraId="3CB19FCD">
      <w:pPr>
        <w:contextualSpacing/>
        <w:jc w:val="center"/>
        <w:rPr>
          <w:rFonts w:ascii="Times New Roman" w:hAnsi="Times New Roman" w:eastAsia="华文中宋" w:cs="Times New Roman"/>
          <w:b/>
          <w:color w:val="auto"/>
          <w:sz w:val="52"/>
          <w:szCs w:val="32"/>
        </w:rPr>
      </w:pPr>
      <w:r>
        <w:rPr>
          <w:rFonts w:ascii="Times New Roman" w:hAnsi="Times New Roman" w:eastAsia="华文中宋" w:cs="Times New Roman"/>
          <w:b/>
          <w:color w:val="auto"/>
          <w:sz w:val="52"/>
          <w:szCs w:val="32"/>
        </w:rPr>
        <w:t>202</w:t>
      </w:r>
      <w:r>
        <w:rPr>
          <w:rFonts w:hint="eastAsia" w:ascii="Times New Roman" w:hAnsi="Times New Roman" w:eastAsia="华文中宋" w:cs="Times New Roman"/>
          <w:b/>
          <w:color w:val="auto"/>
          <w:sz w:val="52"/>
          <w:szCs w:val="32"/>
          <w:lang w:val="en-US" w:eastAsia="zh-CN"/>
        </w:rPr>
        <w:t>6</w:t>
      </w:r>
      <w:r>
        <w:rPr>
          <w:rFonts w:ascii="Times New Roman" w:hAnsi="Times New Roman" w:eastAsia="华文中宋" w:cs="Times New Roman"/>
          <w:b/>
          <w:color w:val="auto"/>
          <w:sz w:val="52"/>
          <w:szCs w:val="32"/>
        </w:rPr>
        <w:t>年度</w:t>
      </w:r>
    </w:p>
    <w:p w14:paraId="3FD89379">
      <w:pPr>
        <w:contextualSpacing/>
        <w:jc w:val="center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  <w:r>
        <w:rPr>
          <w:rFonts w:hint="eastAsia" w:ascii="Times New Roman" w:hAnsi="Times New Roman" w:eastAsia="华文中宋" w:cs="Times New Roman"/>
          <w:b/>
          <w:color w:val="auto"/>
          <w:sz w:val="52"/>
          <w:szCs w:val="32"/>
        </w:rPr>
        <w:t>全国统计科学研究项目</w:t>
      </w:r>
      <w:r>
        <w:rPr>
          <w:rFonts w:ascii="Times New Roman" w:hAnsi="Times New Roman" w:eastAsia="华文中宋" w:cs="Times New Roman"/>
          <w:b/>
          <w:color w:val="auto"/>
          <w:sz w:val="52"/>
          <w:szCs w:val="32"/>
        </w:rPr>
        <w:t>课题指南</w:t>
      </w:r>
    </w:p>
    <w:p w14:paraId="59ED0BFB">
      <w:pPr>
        <w:ind w:left="661" w:hanging="660" w:hangingChars="150"/>
        <w:contextualSpacing/>
        <w:jc w:val="center"/>
        <w:rPr>
          <w:rFonts w:hint="eastAsia" w:ascii="Times New Roman" w:hAnsi="Times New Roman" w:eastAsia="华文中宋" w:cs="Times New Roman"/>
          <w:b w:val="0"/>
          <w:bCs/>
          <w:color w:val="auto"/>
          <w:sz w:val="44"/>
          <w:szCs w:val="32"/>
          <w:lang w:val="en-US" w:eastAsia="zh-CN"/>
        </w:rPr>
      </w:pPr>
    </w:p>
    <w:p w14:paraId="20F8D92C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  <w:bookmarkStart w:id="1" w:name="_GoBack"/>
      <w:bookmarkEnd w:id="1"/>
    </w:p>
    <w:p w14:paraId="7EFE999E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47E98A6D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0F2AF9E7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3753E646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136A0EAE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432A5A5E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7D96F010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2D924290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5B7919B4">
      <w:pPr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5411530F">
      <w:pPr>
        <w:contextualSpacing/>
        <w:jc w:val="center"/>
        <w:rPr>
          <w:rFonts w:ascii="Times New Roman" w:hAnsi="Times New Roman" w:eastAsia="楷体" w:cs="Times New Roman"/>
          <w:b/>
          <w:color w:val="auto"/>
          <w:sz w:val="36"/>
          <w:szCs w:val="32"/>
        </w:rPr>
      </w:pPr>
      <w:r>
        <w:rPr>
          <w:rFonts w:hint="eastAsia" w:ascii="Times New Roman" w:hAnsi="Times New Roman" w:eastAsia="楷体" w:cs="Times New Roman"/>
          <w:b/>
          <w:color w:val="auto"/>
          <w:sz w:val="36"/>
          <w:szCs w:val="32"/>
        </w:rPr>
        <w:t>全国统计科学研究组织管理办公室</w:t>
      </w:r>
    </w:p>
    <w:p w14:paraId="6AD1960A">
      <w:pPr>
        <w:contextualSpacing/>
        <w:jc w:val="center"/>
        <w:rPr>
          <w:rFonts w:hint="eastAsia" w:ascii="Times New Roman" w:hAnsi="Times New Roman" w:eastAsia="楷体" w:cs="Times New Roman"/>
          <w:b/>
          <w:color w:val="auto"/>
          <w:sz w:val="36"/>
          <w:szCs w:val="32"/>
        </w:rPr>
      </w:pPr>
      <w:r>
        <w:rPr>
          <w:rFonts w:hint="eastAsia" w:ascii="Times New Roman" w:hAnsi="Times New Roman" w:eastAsia="楷体" w:cs="Times New Roman"/>
          <w:b/>
          <w:color w:val="auto"/>
          <w:sz w:val="36"/>
          <w:szCs w:val="32"/>
        </w:rPr>
        <w:t>202</w:t>
      </w:r>
      <w:r>
        <w:rPr>
          <w:rFonts w:hint="eastAsia" w:ascii="Times New Roman" w:hAnsi="Times New Roman" w:eastAsia="楷体" w:cs="Times New Roman"/>
          <w:b/>
          <w:color w:val="auto"/>
          <w:sz w:val="36"/>
          <w:szCs w:val="32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b/>
          <w:color w:val="auto"/>
          <w:sz w:val="36"/>
          <w:szCs w:val="32"/>
        </w:rPr>
        <w:t>年</w:t>
      </w:r>
      <w:r>
        <w:rPr>
          <w:rFonts w:hint="eastAsia" w:ascii="Times New Roman" w:hAnsi="Times New Roman" w:eastAsia="楷体" w:cs="Times New Roman"/>
          <w:b/>
          <w:color w:val="auto"/>
          <w:sz w:val="36"/>
          <w:szCs w:val="32"/>
          <w:lang w:val="en-US" w:eastAsia="zh-CN"/>
        </w:rPr>
        <w:t>4</w:t>
      </w:r>
      <w:r>
        <w:rPr>
          <w:rFonts w:hint="eastAsia" w:ascii="Times New Roman" w:hAnsi="Times New Roman" w:eastAsia="楷体" w:cs="Times New Roman"/>
          <w:b/>
          <w:color w:val="auto"/>
          <w:sz w:val="36"/>
          <w:szCs w:val="32"/>
        </w:rPr>
        <w:t>月</w:t>
      </w:r>
    </w:p>
    <w:p w14:paraId="30723BDA">
      <w:pPr>
        <w:widowControl/>
        <w:ind w:left="542" w:hanging="542" w:hangingChars="150"/>
        <w:jc w:val="center"/>
        <w:rPr>
          <w:rFonts w:hint="eastAsia" w:ascii="华文中宋" w:hAnsi="华文中宋" w:eastAsia="华文中宋"/>
          <w:b/>
          <w:color w:val="auto"/>
          <w:sz w:val="44"/>
          <w:szCs w:val="32"/>
        </w:rPr>
      </w:pPr>
      <w:r>
        <w:rPr>
          <w:rFonts w:ascii="Times New Roman" w:hAnsi="Times New Roman" w:eastAsia="楷体" w:cs="Times New Roman"/>
          <w:b/>
          <w:color w:val="auto"/>
          <w:sz w:val="36"/>
          <w:szCs w:val="32"/>
        </w:rPr>
        <w:br w:type="page"/>
      </w:r>
      <w:bookmarkStart w:id="0" w:name="_Toc92878073"/>
      <w:r>
        <w:rPr>
          <w:rFonts w:hint="eastAsia" w:ascii="华文中宋" w:hAnsi="华文中宋" w:eastAsia="华文中宋"/>
          <w:b/>
          <w:color w:val="auto"/>
          <w:sz w:val="44"/>
          <w:szCs w:val="32"/>
        </w:rPr>
        <w:t>说</w:t>
      </w:r>
      <w:r>
        <w:rPr>
          <w:rFonts w:hint="default" w:ascii="华文中宋" w:hAnsi="华文中宋" w:eastAsia="华文中宋"/>
          <w:b/>
          <w:color w:val="auto"/>
          <w:sz w:val="44"/>
          <w:szCs w:val="32"/>
          <w:lang w:val="en"/>
        </w:rPr>
        <w:t xml:space="preserve">  </w:t>
      </w:r>
      <w:r>
        <w:rPr>
          <w:rFonts w:hint="eastAsia" w:ascii="华文中宋" w:hAnsi="华文中宋" w:eastAsia="华文中宋"/>
          <w:b/>
          <w:color w:val="auto"/>
          <w:sz w:val="44"/>
          <w:szCs w:val="32"/>
        </w:rPr>
        <w:t>明</w:t>
      </w:r>
      <w:bookmarkEnd w:id="0"/>
    </w:p>
    <w:p w14:paraId="029509E8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 w14:paraId="51BF1DA9">
      <w:pPr>
        <w:widowControl/>
        <w:numPr>
          <w:ilvl w:val="0"/>
          <w:numId w:val="0"/>
        </w:numPr>
        <w:jc w:val="both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一、《2026年度全国统计科学研究项目课题指南》围绕深入学习贯彻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习近平新时代中国特色社会主义思想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，全面贯彻落实党的二十大和二十届历次全会精神，认真贯彻落实中央经济工作会议部署，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聚焦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深化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统计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改革创新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、有效发挥统计监督职能作用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强化统计监测分析，深入研究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经济社会发展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中的重点、热点问题，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研究拟定了一批重要选题，申请人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可结合自身学术专长和研究基础选择申报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</w:p>
    <w:p w14:paraId="5F0E40BD">
      <w:pPr>
        <w:widowControl/>
        <w:ind w:firstLine="640" w:firstLineChars="200"/>
        <w:jc w:val="both"/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二、项目申请人须具备下列条件：遵守中华人民共和国宪法和法律；具有独立开展研究和组织指导课题研究的能力，有足够时间和精力承担项目实质性研究；具有副高级以上（含）专业技术职称或博士学位。不具备副高级以上（含）专业技术职称或博士学位的申请人，应当有两名具有副高级以上（含）专业技术职称的专家书面推荐。全日制在读研究生不能申请。在站博士后人员可申请，其中全脱产博士后须从所在博士后工作站申请，在职博士后可以从所在工作单位或博士后工作站申请。课题组成员须征得本人同意并签字确认，否则视为违规申报。</w:t>
      </w:r>
    </w:p>
    <w:p w14:paraId="0151A042">
      <w:pPr>
        <w:widowControl/>
        <w:ind w:firstLine="640" w:firstLineChars="200"/>
        <w:jc w:val="both"/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三、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auto"/>
          <w:lang w:val="en-US" w:eastAsia="zh-CN" w:bidi="ar"/>
        </w:rPr>
        <w:t>项目</w:t>
      </w: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责任单位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须符合以下条件：</w:t>
      </w: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在相关领域具有较雄厚的学术资源和研究实力；设有科研管理职能部门；能够提供开展研究的必要条件并承诺信誉保证。以兼职人员身份从所兼职单位申报的，兼职单位须审核兼职人员正式聘用关系的真实性，承担项目管理职责并承诺信誉保证。</w:t>
      </w:r>
    </w:p>
    <w:p w14:paraId="252E2662">
      <w:pPr>
        <w:widowControl/>
        <w:ind w:firstLine="640" w:firstLineChars="200"/>
        <w:jc w:val="both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四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2026年度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全国统计科学研究项目类别分为重大项目、重点项目和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优选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项目，申请时可选择其一。重大、重点项目单项资助经费分别</w:t>
      </w:r>
      <w:r>
        <w:rPr>
          <w:rFonts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为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万元和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万元，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优选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项目无资助。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全国统计科学研究项目实施周期为一至两年。</w:t>
      </w:r>
    </w:p>
    <w:p w14:paraId="061585C6">
      <w:pPr>
        <w:widowControl/>
        <w:ind w:firstLine="640" w:firstLineChars="200"/>
        <w:jc w:val="both"/>
        <w:rPr>
          <w:rFonts w:hint="default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五、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《2026年度全国统计科学研究项目课题指南》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分为具体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选题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和方向性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选题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两类。申报具体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选题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申请人不得修改选题题目，须按照选题明确的研究主题、内容和方向开展论证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。方向性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选题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只规定研究范围和方向，申请人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要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据此自行设计具体题目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课题名称表述要科学严谨、简明规范，避免引起歧义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或争议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，研究内容须与选题紧密结合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。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具体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选题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和方向性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选题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均可申报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重大、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重点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和优选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项目。</w:t>
      </w:r>
    </w:p>
    <w:p w14:paraId="75C519B0">
      <w:pPr>
        <w:spacing w:line="600" w:lineRule="exact"/>
        <w:ind w:firstLine="640" w:firstLineChars="200"/>
        <w:jc w:val="both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六、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为避免一题多报、交叉申请和重复立项，确保申请人有足够的时间和精力从事课题研究，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项目申报作如下限定：</w:t>
      </w:r>
    </w:p>
    <w:p w14:paraId="51F52454">
      <w:pPr>
        <w:spacing w:line="600" w:lineRule="exact"/>
        <w:ind w:firstLine="640" w:firstLineChars="200"/>
        <w:jc w:val="both"/>
        <w:rPr>
          <w:rFonts w:hint="eastAsia" w:ascii="仿宋_GB2312" w:hAnsi="等线" w:eastAsia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（一）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申请人同年度只能申报一个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项目，且不能作为课题组成员参与其他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项目的申请；课题组成员同年度最多参与两个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项目申请。</w:t>
      </w:r>
    </w:p>
    <w:p w14:paraId="728214AB">
      <w:pPr>
        <w:spacing w:line="600" w:lineRule="exact"/>
        <w:ind w:firstLine="640" w:firstLineChars="200"/>
        <w:jc w:val="both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（二）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在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申请通知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发布之日前，作为项目负责人有未结全国统计科学研究项目的，不得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作为项目负责人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申请新的项目。</w:t>
      </w:r>
    </w:p>
    <w:p w14:paraId="3A76CD95">
      <w:pPr>
        <w:spacing w:line="600" w:lineRule="exact"/>
        <w:ind w:firstLine="640" w:firstLineChars="200"/>
        <w:jc w:val="both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（三）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不得使用与已出版的内容基本相同的研究成果申请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项目。</w:t>
      </w:r>
    </w:p>
    <w:p w14:paraId="0EBDB077">
      <w:pPr>
        <w:widowControl/>
        <w:ind w:firstLine="640" w:firstLineChars="200"/>
        <w:jc w:val="both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七、为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贯彻落实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中央《关于进一步加强科研诚信建设的若干意见》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的精神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，申报项目须按照《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项目申请书》（以下简称《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申请书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》）和《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全国统计科学研究项目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论证活页》（以下简称《活页》）要求，如实填写材料，保证没有知识产权争议、没有违背科研诚信要求的行为。凡存在弄虚作假、抄袭剽窃等行为的，一经发现查实，取消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5年申报资格；如获立项即予撤项并通报批评。申报单位或个人不得以任何名义走访、咨询评审组专家或邀请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评审组专家进行申报辅导。凡行贿评审专家者，一经查实将予通报批评，如获立项即予撤项，5年内不得申报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项目。凡在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项目申报和评审中发现严重违规违纪行为的，除按规定进行处理外，均列入不良科研信用记录。</w:t>
      </w:r>
    </w:p>
    <w:p w14:paraId="61C5ABD1">
      <w:pPr>
        <w:widowControl/>
        <w:ind w:firstLine="640" w:firstLineChars="200"/>
        <w:jc w:val="both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八、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申报课题全部实行同行专家通讯初评。初评采用《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论证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活页》匿名方式，《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论证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活页》论证字数不超过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7000字，要按《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论证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活页》中规定的方式列出前期相关研究成果。</w:t>
      </w:r>
    </w:p>
    <w:p w14:paraId="6DFEB85F">
      <w:pPr>
        <w:widowControl/>
        <w:ind w:firstLine="640" w:firstLineChars="200"/>
        <w:jc w:val="both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九、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获准立项后，项目负责人在项目执行期间要遵守相关承诺，履行约定义务，按期完成研究任务，结项成果形式原则上须与预期成果一致；获准立项的《申请书》视为具有约束力的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资助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合同文本。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重大、重点项目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最终成果实行匿名通讯鉴定。</w:t>
      </w:r>
      <w:r>
        <w:rPr>
          <w:rStyle w:val="4"/>
          <w:rFonts w:hint="eastAsia" w:ascii="仿宋_GB2312" w:hAnsi="等线" w:eastAsia="仿宋_GB2312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最终成果原则上应为中文，确需以外文或少数民族文字结项的，须先向全国统计科学研究组织管理办公室提出申请，批准后方可申请结项。</w:t>
      </w:r>
    </w:p>
    <w:p w14:paraId="5727451D">
      <w:pPr>
        <w:widowControl/>
        <w:ind w:firstLine="640" w:firstLineChars="200"/>
        <w:jc w:val="both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十、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项目实行网络申报。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申请人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登录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全国统计科学研究管理平台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（http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"/>
        </w:rPr>
        <w:t>s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://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219.235.135.18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/）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，注册后可在规定时限内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登录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项目申报系统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账号采用实名制，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  <w:t>使用本人身份证号注册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申请人在线填写《全国统计科学研究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项目申请书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》，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检查内容无误后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，可下载打印系统生成的《申请书》和《论证活页》，完成相关内容签字，经项目责任单位审核盖章（加盖单位科研管理部门印章或单位公章），扫描后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通过项目申报系统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重新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上传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《申请书》和《论证活页》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项目申报系统于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月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时至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月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时开放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，逾期系统自动关闭，不再受理申报。</w:t>
      </w:r>
    </w:p>
    <w:p w14:paraId="6F2F4B23">
      <w:pPr>
        <w:widowControl/>
        <w:ind w:firstLine="640" w:firstLineChars="200"/>
        <w:jc w:val="both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全国统计科学研究管理平台中的“项目申报系统”为本次申报的唯一网络平台，网络申报办法及流程管理以该系统为准。</w:t>
      </w:r>
    </w:p>
    <w:p w14:paraId="1537AC2C">
      <w:pPr>
        <w:widowControl/>
        <w:ind w:firstLine="640" w:firstLineChars="200"/>
        <w:jc w:val="both"/>
        <w:rPr>
          <w:rFonts w:hint="default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有关申报系统及技术问题请咨询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4008001636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或扫描平台下方二维码，业务问题请咨询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(010)68783413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。</w:t>
      </w:r>
    </w:p>
    <w:p w14:paraId="6B5C4A0E">
      <w:pPr>
        <w:numPr>
          <w:ilvl w:val="0"/>
          <w:numId w:val="0"/>
        </w:numP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</w:p>
    <w:p w14:paraId="5CF2E0FA"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532934AD">
      <w:pPr>
        <w:widowControl/>
        <w:ind w:left="480" w:hanging="480" w:hangingChars="15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 w14:paraId="5D4F6CB6">
      <w:pPr>
        <w:widowControl/>
        <w:ind w:left="480" w:hanging="480" w:hangingChars="15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 w14:paraId="4692A469">
      <w:pPr>
        <w:widowControl/>
        <w:ind w:left="480" w:hanging="480" w:hangingChars="15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 w14:paraId="0D82C480">
      <w:pPr>
        <w:widowControl/>
        <w:ind w:left="480" w:hanging="480" w:hangingChars="15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 w14:paraId="2B2FA0B2">
      <w:pPr>
        <w:widowControl/>
        <w:ind w:left="480" w:hanging="480" w:hangingChars="15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 w14:paraId="36BAC9F2">
      <w:pPr>
        <w:widowControl/>
        <w:ind w:left="480" w:hanging="480" w:hangingChars="15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 w14:paraId="14060912">
      <w:pPr>
        <w:widowControl/>
        <w:ind w:left="480" w:hanging="480" w:hangingChars="150"/>
        <w:jc w:val="left"/>
        <w:rPr>
          <w:rFonts w:hint="eastAsia" w:ascii="仿宋_GB2312" w:hAnsi="宋体" w:eastAsia="仿宋_GB2312" w:cs="黑体"/>
          <w:color w:val="333333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具体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选题（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A类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）</w:t>
      </w:r>
    </w:p>
    <w:p w14:paraId="1F43BB7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“十五五”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规划指标与统计监测指标对接的研究</w:t>
      </w:r>
    </w:p>
    <w:p w14:paraId="277981B9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A2.“十五五”时期数字中国建设进展的统计监测与评估方法研究</w:t>
      </w:r>
    </w:p>
    <w:p w14:paraId="543F1C3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A3.探索实行宏观资产负债表管理研究</w:t>
      </w:r>
    </w:p>
    <w:p w14:paraId="6BBDD677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A4.</w:t>
      </w:r>
      <w:r>
        <w:rPr>
          <w:rFonts w:hint="eastAsia" w:ascii="仿宋_GB2312" w:hAnsi="仿宋_GB2312" w:eastAsia="仿宋_GB2312" w:cs="仿宋_GB2312"/>
          <w:sz w:val="32"/>
          <w:szCs w:val="32"/>
        </w:rPr>
        <w:t>新质生产力与传统产业转型升级融合发展的统计监测研究</w:t>
      </w:r>
    </w:p>
    <w:p w14:paraId="308D045C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A5.粮食和大食物遥感统计监测研究</w:t>
      </w:r>
    </w:p>
    <w:p w14:paraId="420616F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A6.</w:t>
      </w:r>
      <w:r>
        <w:rPr>
          <w:rFonts w:hint="eastAsia" w:ascii="仿宋_GB2312" w:hAnsi="仿宋_GB2312" w:eastAsia="仿宋_GB2312" w:cs="仿宋_GB2312"/>
          <w:sz w:val="32"/>
          <w:szCs w:val="32"/>
        </w:rPr>
        <w:t>人口结构优化与人口素质提升的统计核算与监测研究</w:t>
      </w:r>
    </w:p>
    <w:p w14:paraId="08584237">
      <w:pP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.有效投资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对经济高质量发展贡献作用的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统计监测研究</w:t>
      </w:r>
    </w:p>
    <w:p w14:paraId="48E9E47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A8.知识产权投资统计监测及分地区、分行业数据研究</w:t>
      </w:r>
    </w:p>
    <w:p w14:paraId="40DAF52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A9.消费新业态新模式、消费结构变化的统计监测研究</w:t>
      </w:r>
    </w:p>
    <w:p w14:paraId="2CC62C1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A10.平台经济统计监测与核算研究</w:t>
      </w:r>
    </w:p>
    <w:p w14:paraId="6321A71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A11.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乡村全面振兴中农村人居环境与公共服务的统计监测研究</w:t>
      </w:r>
    </w:p>
    <w:p w14:paraId="5D4181D9">
      <w:pPr>
        <w:widowControl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A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“绿电+智算”新兴领域统计方法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创新研究</w:t>
      </w:r>
    </w:p>
    <w:p w14:paraId="727CA9F1">
      <w:pPr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3.CCUS现状趋势及核算方法研究</w:t>
      </w:r>
    </w:p>
    <w:p w14:paraId="0F4DCBC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4.基于高维数据的因果推断统计方法及其在RCEP区域政策评估中的应用研究</w:t>
      </w:r>
    </w:p>
    <w:p w14:paraId="1209D98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A15.基于人工智能技术的宏观经济运行监测研究</w:t>
      </w:r>
    </w:p>
    <w:p w14:paraId="7E6EE87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A16.基于2025 SNA的自然资源资产价值核算研究</w:t>
      </w:r>
    </w:p>
    <w:p w14:paraId="4D786022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A17.优化服务业企业研发统计指标和方法研究</w:t>
      </w:r>
    </w:p>
    <w:p w14:paraId="3FF45C4B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A18.性别发展指数研究</w:t>
      </w:r>
    </w:p>
    <w:p w14:paraId="7F38AA20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7DF731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方向性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选题（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B类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）</w:t>
      </w:r>
    </w:p>
    <w:p w14:paraId="01C8DCF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.新质生产力统计监测研究</w:t>
      </w:r>
    </w:p>
    <w:p w14:paraId="4B7563C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.共同富裕与乡村全面振兴统计监测研究</w:t>
      </w:r>
    </w:p>
    <w:p w14:paraId="313937B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.区域重大发展战略统计监测研究</w:t>
      </w:r>
    </w:p>
    <w:p w14:paraId="6FFB18C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.人口高质量发展统计监测研究</w:t>
      </w:r>
    </w:p>
    <w:p w14:paraId="717A04A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未来产业发展统计监测研究</w:t>
      </w:r>
    </w:p>
    <w:p w14:paraId="501D804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B6.战略性新兴产业融合集群和先进制造业集群发展统计监测研究</w:t>
      </w:r>
    </w:p>
    <w:p w14:paraId="769AF64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.低空经济、首发经济、银发经济等新兴经济形态的统计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监测与</w:t>
      </w:r>
      <w:r>
        <w:rPr>
          <w:rFonts w:hint="eastAsia" w:ascii="仿宋_GB2312" w:hAnsi="仿宋_GB2312" w:eastAsia="仿宋_GB2312" w:cs="仿宋_GB2312"/>
          <w:sz w:val="32"/>
          <w:szCs w:val="32"/>
        </w:rPr>
        <w:t>核算研究</w:t>
      </w:r>
    </w:p>
    <w:p w14:paraId="0D487D9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B8.人工智能浪潮下就业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情况的统计监测与分析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问题研究</w:t>
      </w:r>
    </w:p>
    <w:p w14:paraId="143ADF0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B9.人工智能对区域产业链韧性</w:t>
      </w:r>
      <w:r>
        <w:rPr>
          <w:rFonts w:hint="eastAsia" w:ascii="仿宋_GB2312" w:hAnsi="仿宋_GB2312" w:eastAsia="仿宋_GB2312" w:cs="仿宋_GB2312"/>
          <w:sz w:val="32"/>
          <w:szCs w:val="32"/>
        </w:rPr>
        <w:t>的统计测度与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影响研究</w:t>
      </w:r>
    </w:p>
    <w:p w14:paraId="4459F92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人工智能发展对经济增长潜力的影响研究</w:t>
      </w:r>
    </w:p>
    <w:p w14:paraId="0CCE4540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B11.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智慧赋能统计理论及实践研究</w:t>
      </w:r>
    </w:p>
    <w:p w14:paraId="1FEA69BB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国有经济、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民营经济统计监测制度研究</w:t>
      </w:r>
    </w:p>
    <w:p w14:paraId="6435AF8B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B1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.海洋经济统计监测体系研究</w:t>
      </w:r>
    </w:p>
    <w:p w14:paraId="4BFC8F0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4.全国统一大市场相关统计问题研究</w:t>
      </w:r>
    </w:p>
    <w:p w14:paraId="2514657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5.数字经济产出效率测度及空间结构特征研究</w:t>
      </w:r>
    </w:p>
    <w:p w14:paraId="09C1A221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B1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.数据资源统计调查制度研究</w:t>
      </w:r>
    </w:p>
    <w:p w14:paraId="30503242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17.生态产品价值核算方法的研究</w:t>
      </w:r>
    </w:p>
    <w:p w14:paraId="6021C51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生产性、生活性服务业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统计监测与</w:t>
      </w:r>
      <w:r>
        <w:rPr>
          <w:rFonts w:hint="eastAsia" w:ascii="仿宋_GB2312" w:hAnsi="仿宋_GB2312" w:eastAsia="仿宋_GB2312" w:cs="仿宋_GB2312"/>
          <w:sz w:val="32"/>
          <w:szCs w:val="32"/>
        </w:rPr>
        <w:t>核算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 w14:paraId="681D42C5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.数智化时代民生和社会保障问题研究</w:t>
      </w:r>
    </w:p>
    <w:p w14:paraId="533F36A3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.高校毕业生、农民工等重点群体就业统计监测研究</w:t>
      </w:r>
    </w:p>
    <w:p w14:paraId="7CB0FFA2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.居民收支和生活质量统计监测研究</w:t>
      </w:r>
    </w:p>
    <w:p w14:paraId="00CE2220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.“一老一小”服务供给体系统计监测研究</w:t>
      </w:r>
    </w:p>
    <w:p w14:paraId="3744BFD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3.投资于物与投资于人</w:t>
      </w:r>
      <w:r>
        <w:rPr>
          <w:rFonts w:hint="eastAsia" w:ascii="仿宋_GB2312" w:hAnsi="仿宋_GB2312" w:eastAsia="仿宋_GB2312" w:cs="仿宋_GB2312"/>
          <w:sz w:val="32"/>
          <w:szCs w:val="32"/>
        </w:rPr>
        <w:t>融合发展的统计界定与监测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 w14:paraId="71D760E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4.高频指标数据在统计监测中应用研究</w:t>
      </w:r>
    </w:p>
    <w:p w14:paraId="7057329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5.宏观资产负债表编制研究</w:t>
      </w:r>
    </w:p>
    <w:p w14:paraId="00D990F9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6.数字经济供给使用表编制研究</w:t>
      </w:r>
    </w:p>
    <w:p w14:paraId="2D5A7E1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7.企业研发指数编制研究</w:t>
      </w:r>
    </w:p>
    <w:p w14:paraId="332D5FA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8.“超越GDP”统计测度研究</w:t>
      </w:r>
    </w:p>
    <w:p w14:paraId="623323AB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时间序列异常检测创新方法研究</w:t>
      </w:r>
    </w:p>
    <w:p w14:paraId="6DCB8E09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因果推断及其应用研究</w:t>
      </w:r>
    </w:p>
    <w:p w14:paraId="5769D3C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大数据时代统计指数编制的理论与方法研究</w:t>
      </w:r>
    </w:p>
    <w:p w14:paraId="1577ED3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B32.大数据时代数据治理的统计理论与实践研究</w:t>
      </w:r>
    </w:p>
    <w:p w14:paraId="259922F4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B33.</w:t>
      </w:r>
      <w:r>
        <w:rPr>
          <w:rFonts w:hint="eastAsia" w:ascii="仿宋_GB2312" w:hAnsi="仿宋_GB2312" w:eastAsia="仿宋_GB2312" w:cs="仿宋_GB2312"/>
          <w:sz w:val="32"/>
          <w:szCs w:val="32"/>
        </w:rPr>
        <w:t>大数据与统计调查体系融合研究</w:t>
      </w:r>
    </w:p>
    <w:p w14:paraId="57CFC474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4.多模态大数据、大语言模型统计应用研究</w:t>
      </w:r>
    </w:p>
    <w:p w14:paraId="291F78FF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投入产出理论及应用研究</w:t>
      </w:r>
    </w:p>
    <w:p w14:paraId="60DB17AC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新版SNA修订内容以及在中国落地研究</w:t>
      </w:r>
    </w:p>
    <w:p w14:paraId="61F38099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.基本公共服务均等化评价问题研究</w:t>
      </w:r>
    </w:p>
    <w:p w14:paraId="0BA44C5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.中国经济统计学自主知识体系的构建研究</w:t>
      </w:r>
    </w:p>
    <w:p w14:paraId="310D6B47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B39.基于人工智能应用的统计知识库构建研究</w:t>
      </w:r>
    </w:p>
    <w:p w14:paraId="47ADB6BE"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B40.面向中国式现代化的统计学科体系建设研究</w:t>
      </w:r>
    </w:p>
    <w:p w14:paraId="2EA306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160" w:firstLineChars="1300"/>
        <w:jc w:val="both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p w14:paraId="2A013B6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F58C2"/>
    <w:rsid w:val="01EF58C2"/>
    <w:rsid w:val="1C6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</Words>
  <Characters>48</Characters>
  <Lines>0</Lines>
  <Paragraphs>0</Paragraphs>
  <TotalTime>1</TotalTime>
  <ScaleCrop>false</ScaleCrop>
  <LinksUpToDate>false</LinksUpToDate>
  <CharactersWithSpaces>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2026-04-30T06:50:00Z</dcterms:created>
  <dc:creator>WPS_1712508044</dc:creator>
  <cp:lastModifiedBy>WPS_1712508044</cp:lastModifiedBy>
  <dcterms:modified xsi:type="dcterms:W3CDTF">2026-07-06T01:30:56Z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34F0171F7EB74AABA8FCBA9CE3163A24_13</vt:lpwstr>
  </property>
  <property fmtid="{D5CDD505-2E9C-101B-9397-08002B2CF9AE}" pid="4" name="KSOTemplateDocerSaveRecord">
    <vt:lpwstr>eyJoZGlkIjoiMjM1NTBkOGRlNjExMTYyYTM0YWI3MmNlZWE1N2ZiMjciLCJ1c2VySWQiOiIxNTkyMjg3NDIxIn0=</vt:lpwstr>
  </property>
</Properties>
</file>